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7735D0" w:rsidRPr="00BA270C" w:rsidRDefault="00BA270C" w:rsidP="00BA270C">
      <w:pPr>
        <w:spacing w:line="480" w:lineRule="auto"/>
        <w:jc w:val="center"/>
        <w:rPr>
          <w:rFonts w:ascii="Times New Roman" w:hAnsi="Times New Roman" w:cs="Times New Roman"/>
          <w:sz w:val="24"/>
          <w:szCs w:val="24"/>
        </w:rPr>
      </w:pPr>
      <w:r w:rsidRPr="00BA270C">
        <w:rPr>
          <w:rFonts w:ascii="Times New Roman" w:hAnsi="Times New Roman" w:cs="Times New Roman"/>
          <w:sz w:val="24"/>
          <w:szCs w:val="24"/>
        </w:rPr>
        <w:t>Measuring Sustainability Growth</w:t>
      </w:r>
    </w:p>
    <w:p w:rsidR="00BA270C" w:rsidRPr="00BA270C" w:rsidRDefault="00BA270C" w:rsidP="00BA270C">
      <w:pPr>
        <w:spacing w:line="480" w:lineRule="auto"/>
        <w:jc w:val="center"/>
        <w:rPr>
          <w:rFonts w:ascii="Times New Roman" w:hAnsi="Times New Roman" w:cs="Times New Roman"/>
          <w:sz w:val="24"/>
          <w:szCs w:val="24"/>
        </w:rPr>
      </w:pPr>
      <w:r w:rsidRPr="00BA270C">
        <w:rPr>
          <w:rFonts w:ascii="Times New Roman" w:hAnsi="Times New Roman" w:cs="Times New Roman"/>
          <w:sz w:val="24"/>
          <w:szCs w:val="24"/>
        </w:rPr>
        <w:t>Name of Student</w:t>
      </w:r>
    </w:p>
    <w:p w:rsidR="00BA270C" w:rsidRPr="00BA270C" w:rsidRDefault="00BA270C" w:rsidP="00BA270C">
      <w:pPr>
        <w:spacing w:line="480" w:lineRule="auto"/>
        <w:jc w:val="center"/>
        <w:rPr>
          <w:rFonts w:ascii="Times New Roman" w:hAnsi="Times New Roman" w:cs="Times New Roman"/>
          <w:sz w:val="24"/>
          <w:szCs w:val="24"/>
        </w:rPr>
      </w:pPr>
      <w:r w:rsidRPr="00BA270C">
        <w:rPr>
          <w:rFonts w:ascii="Times New Roman" w:hAnsi="Times New Roman" w:cs="Times New Roman"/>
          <w:sz w:val="24"/>
          <w:szCs w:val="24"/>
        </w:rPr>
        <w:t>Name of Tutor</w:t>
      </w:r>
    </w:p>
    <w:p w:rsidR="00BA270C" w:rsidRPr="00BA270C" w:rsidRDefault="00BA270C" w:rsidP="00BA270C">
      <w:pPr>
        <w:spacing w:line="480" w:lineRule="auto"/>
        <w:jc w:val="center"/>
        <w:rPr>
          <w:rFonts w:ascii="Times New Roman" w:hAnsi="Times New Roman" w:cs="Times New Roman"/>
          <w:sz w:val="24"/>
          <w:szCs w:val="24"/>
        </w:rPr>
      </w:pPr>
      <w:r w:rsidRPr="00BA270C">
        <w:rPr>
          <w:rFonts w:ascii="Times New Roman" w:hAnsi="Times New Roman" w:cs="Times New Roman"/>
          <w:sz w:val="24"/>
          <w:szCs w:val="24"/>
        </w:rPr>
        <w:t>Name of College</w:t>
      </w:r>
    </w:p>
    <w:p w:rsidR="00BA270C" w:rsidRDefault="00BA270C" w:rsidP="00BA270C">
      <w:pPr>
        <w:spacing w:line="480" w:lineRule="auto"/>
        <w:jc w:val="center"/>
        <w:rPr>
          <w:rFonts w:ascii="Times New Roman" w:hAnsi="Times New Roman" w:cs="Times New Roman"/>
          <w:sz w:val="24"/>
          <w:szCs w:val="24"/>
        </w:rPr>
      </w:pPr>
      <w:r w:rsidRPr="00BA270C">
        <w:rPr>
          <w:rFonts w:ascii="Times New Roman" w:hAnsi="Times New Roman" w:cs="Times New Roman"/>
          <w:sz w:val="24"/>
          <w:szCs w:val="24"/>
        </w:rPr>
        <w:t>Date of Submission</w:t>
      </w: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387AC9">
      <w:pPr>
        <w:spacing w:line="480" w:lineRule="auto"/>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Measuring Sustainability Growth</w:t>
      </w:r>
    </w:p>
    <w:p w:rsidR="0075257C" w:rsidRDefault="00BA270C" w:rsidP="00BA270C">
      <w:pPr>
        <w:spacing w:line="480" w:lineRule="auto"/>
        <w:rPr>
          <w:rFonts w:ascii="Times New Roman" w:hAnsi="Times New Roman" w:cs="Times New Roman"/>
          <w:sz w:val="24"/>
          <w:szCs w:val="24"/>
        </w:rPr>
      </w:pPr>
      <w:r>
        <w:rPr>
          <w:rFonts w:ascii="Times New Roman" w:hAnsi="Times New Roman" w:cs="Times New Roman"/>
          <w:sz w:val="24"/>
          <w:szCs w:val="24"/>
        </w:rPr>
        <w:t xml:space="preserve">Sustainability Growth Rate refers to that growth that a company can sustain or experience without having to look for outside additional financing. The company is thus self-financing in this respect and so funds its operations and growth from its own sources. </w:t>
      </w:r>
      <w:r w:rsidR="00CB3E6F">
        <w:rPr>
          <w:rFonts w:ascii="Times New Roman" w:hAnsi="Times New Roman" w:cs="Times New Roman"/>
          <w:sz w:val="24"/>
          <w:szCs w:val="24"/>
        </w:rPr>
        <w:t xml:space="preserve">Firms that have SGR that are higher than their actual growth ill most definitely require additional funding. </w:t>
      </w:r>
      <w:r w:rsidR="00A11112">
        <w:rPr>
          <w:rFonts w:ascii="Times New Roman" w:hAnsi="Times New Roman" w:cs="Times New Roman"/>
          <w:sz w:val="24"/>
          <w:szCs w:val="24"/>
        </w:rPr>
        <w:t>This would be inevitable as the firms would</w:t>
      </w:r>
      <w:r w:rsidR="00873F32">
        <w:rPr>
          <w:rFonts w:ascii="Times New Roman" w:hAnsi="Times New Roman" w:cs="Times New Roman"/>
          <w:sz w:val="24"/>
          <w:szCs w:val="24"/>
        </w:rPr>
        <w:t xml:space="preserve"> be faced with </w:t>
      </w:r>
      <w:r w:rsidR="00A11112">
        <w:rPr>
          <w:rFonts w:ascii="Times New Roman" w:hAnsi="Times New Roman" w:cs="Times New Roman"/>
          <w:sz w:val="24"/>
          <w:szCs w:val="24"/>
        </w:rPr>
        <w:t>liquidity stale</w:t>
      </w:r>
      <w:r w:rsidR="0075257C">
        <w:rPr>
          <w:rFonts w:ascii="Times New Roman" w:hAnsi="Times New Roman" w:cs="Times New Roman"/>
          <w:sz w:val="24"/>
          <w:szCs w:val="24"/>
        </w:rPr>
        <w:t>ma</w:t>
      </w:r>
      <w:r w:rsidR="00A11112">
        <w:rPr>
          <w:rFonts w:ascii="Times New Roman" w:hAnsi="Times New Roman" w:cs="Times New Roman"/>
          <w:sz w:val="24"/>
          <w:szCs w:val="24"/>
        </w:rPr>
        <w:t>t</w:t>
      </w:r>
      <w:r w:rsidR="0075257C">
        <w:rPr>
          <w:rFonts w:ascii="Times New Roman" w:hAnsi="Times New Roman" w:cs="Times New Roman"/>
          <w:sz w:val="24"/>
          <w:szCs w:val="24"/>
        </w:rPr>
        <w:t>e</w:t>
      </w:r>
      <w:r w:rsidR="00A11112">
        <w:rPr>
          <w:rFonts w:ascii="Times New Roman" w:hAnsi="Times New Roman" w:cs="Times New Roman"/>
          <w:sz w:val="24"/>
          <w:szCs w:val="24"/>
        </w:rPr>
        <w:t>.</w:t>
      </w:r>
      <w:r w:rsidR="001047A8">
        <w:rPr>
          <w:rFonts w:ascii="Times New Roman" w:hAnsi="Times New Roman" w:cs="Times New Roman"/>
          <w:sz w:val="24"/>
          <w:szCs w:val="24"/>
        </w:rPr>
        <w:t xml:space="preserve"> Cash reserves are rapidly depleted in this case</w:t>
      </w:r>
      <w:r w:rsidR="00810D05">
        <w:rPr>
          <w:rFonts w:ascii="Times New Roman" w:hAnsi="Times New Roman" w:cs="Times New Roman"/>
          <w:sz w:val="24"/>
          <w:szCs w:val="24"/>
        </w:rPr>
        <w:t xml:space="preserve"> (</w:t>
      </w:r>
      <w:r w:rsidR="00810D05">
        <w:rPr>
          <w:rFonts w:ascii="Arial" w:hAnsi="Arial" w:cs="Arial"/>
          <w:color w:val="222222"/>
          <w:sz w:val="20"/>
          <w:szCs w:val="20"/>
          <w:shd w:val="clear" w:color="auto" w:fill="FFFFFF"/>
        </w:rPr>
        <w:t>Hirsch, Manchikanti, 2014)</w:t>
      </w:r>
      <w:r w:rsidR="001047A8">
        <w:rPr>
          <w:rFonts w:ascii="Times New Roman" w:hAnsi="Times New Roman" w:cs="Times New Roman"/>
          <w:sz w:val="24"/>
          <w:szCs w:val="24"/>
        </w:rPr>
        <w:t>.</w:t>
      </w:r>
    </w:p>
    <w:p w:rsidR="00CB3E6F" w:rsidRDefault="00A11112" w:rsidP="00BA27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B3E6F">
        <w:rPr>
          <w:rFonts w:ascii="Times New Roman" w:hAnsi="Times New Roman" w:cs="Times New Roman"/>
          <w:sz w:val="24"/>
          <w:szCs w:val="24"/>
        </w:rPr>
        <w:t>Expansion requires extra financing. In the</w:t>
      </w:r>
      <w:r w:rsidR="00BF5FE1">
        <w:rPr>
          <w:rFonts w:ascii="Times New Roman" w:hAnsi="Times New Roman" w:cs="Times New Roman"/>
          <w:sz w:val="24"/>
          <w:szCs w:val="24"/>
        </w:rPr>
        <w:t xml:space="preserve"> event that the SGR is less</w:t>
      </w:r>
      <w:r w:rsidR="00CB3E6F">
        <w:rPr>
          <w:rFonts w:ascii="Times New Roman" w:hAnsi="Times New Roman" w:cs="Times New Roman"/>
          <w:sz w:val="24"/>
          <w:szCs w:val="24"/>
        </w:rPr>
        <w:t xml:space="preserve"> than actual growth, </w:t>
      </w:r>
      <w:r>
        <w:rPr>
          <w:rFonts w:ascii="Times New Roman" w:hAnsi="Times New Roman" w:cs="Times New Roman"/>
          <w:sz w:val="24"/>
          <w:szCs w:val="24"/>
        </w:rPr>
        <w:t>the firm</w:t>
      </w:r>
      <w:r w:rsidR="00CB3E6F">
        <w:rPr>
          <w:rFonts w:ascii="Times New Roman" w:hAnsi="Times New Roman" w:cs="Times New Roman"/>
          <w:sz w:val="24"/>
          <w:szCs w:val="24"/>
        </w:rPr>
        <w:t xml:space="preserve"> may pursue several measures</w:t>
      </w:r>
      <w:r>
        <w:rPr>
          <w:rFonts w:ascii="Times New Roman" w:hAnsi="Times New Roman" w:cs="Times New Roman"/>
          <w:sz w:val="24"/>
          <w:szCs w:val="24"/>
        </w:rPr>
        <w:t xml:space="preserve"> to meet this requirement. This includes increasing sales. Sales generate revenues and it</w:t>
      </w:r>
      <w:r w:rsidR="001047A8">
        <w:rPr>
          <w:rFonts w:ascii="Times New Roman" w:hAnsi="Times New Roman" w:cs="Times New Roman"/>
          <w:sz w:val="24"/>
          <w:szCs w:val="24"/>
        </w:rPr>
        <w:t xml:space="preserve"> i</w:t>
      </w:r>
      <w:r>
        <w:rPr>
          <w:rFonts w:ascii="Times New Roman" w:hAnsi="Times New Roman" w:cs="Times New Roman"/>
          <w:sz w:val="24"/>
          <w:szCs w:val="24"/>
        </w:rPr>
        <w:t xml:space="preserve">s through increased sales that this is realized. However, this approach must be treaded carefully. First, the company may be operating in a saturated market or simply facing stiff competition that may make this move a nightmare. Increasing sales may mean cutting back on prices and/or increasing production as well as spending more on promotions. There must therefore be careful analysis and consideration in this regard. Alternatively, the firm can go back to the capital markets and float more shares as a source of funding. </w:t>
      </w:r>
      <w:r w:rsidR="0075257C">
        <w:rPr>
          <w:rFonts w:ascii="Times New Roman" w:hAnsi="Times New Roman" w:cs="Times New Roman"/>
          <w:sz w:val="24"/>
          <w:szCs w:val="24"/>
        </w:rPr>
        <w:t xml:space="preserve"> This increases the interest of shareholders in the firm</w:t>
      </w:r>
      <w:r w:rsidR="00810D05">
        <w:rPr>
          <w:rFonts w:ascii="Times New Roman" w:hAnsi="Times New Roman" w:cs="Times New Roman"/>
          <w:sz w:val="24"/>
          <w:szCs w:val="24"/>
        </w:rPr>
        <w:t xml:space="preserve"> (</w:t>
      </w:r>
      <w:r w:rsidR="00810D05">
        <w:rPr>
          <w:rFonts w:ascii="Arial" w:hAnsi="Arial" w:cs="Arial"/>
          <w:color w:val="222222"/>
          <w:sz w:val="20"/>
          <w:szCs w:val="20"/>
          <w:shd w:val="clear" w:color="auto" w:fill="FFFFFF"/>
        </w:rPr>
        <w:t>Hirsch, Manchikanti, 2014)</w:t>
      </w:r>
      <w:r w:rsidR="0075257C">
        <w:rPr>
          <w:rFonts w:ascii="Times New Roman" w:hAnsi="Times New Roman" w:cs="Times New Roman"/>
          <w:sz w:val="24"/>
          <w:szCs w:val="24"/>
        </w:rPr>
        <w:t>. In order to maintain a proper capital structure through the debt-equity ratio, there would be need for floating shares to be done in tandem with borrowing. This not only generates more finances for the firm, but would keep the WACC in check.</w:t>
      </w:r>
      <w:r w:rsidR="001047A8">
        <w:rPr>
          <w:rFonts w:ascii="Times New Roman" w:hAnsi="Times New Roman" w:cs="Times New Roman"/>
          <w:sz w:val="24"/>
          <w:szCs w:val="24"/>
        </w:rPr>
        <w:t xml:space="preserve"> The firm may as well increase its retention ratio. This in essence means funds due to shareholders are retained and so dividend payment is foregone in favor of the expansion.</w:t>
      </w:r>
    </w:p>
    <w:p w:rsidR="00873F32" w:rsidRDefault="00873F32" w:rsidP="00BA27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Shareholders would not be spared either. This is especially true if the shares floated would be in such a way as to increase the number of shareholders in the firm. This in effect would dilute the interest </w:t>
      </w:r>
      <w:r w:rsidR="005E13AE">
        <w:rPr>
          <w:rFonts w:ascii="Times New Roman" w:hAnsi="Times New Roman" w:cs="Times New Roman"/>
          <w:sz w:val="24"/>
          <w:szCs w:val="24"/>
        </w:rPr>
        <w:t xml:space="preserve">and so the earnings </w:t>
      </w:r>
      <w:r>
        <w:rPr>
          <w:rFonts w:ascii="Times New Roman" w:hAnsi="Times New Roman" w:cs="Times New Roman"/>
          <w:sz w:val="24"/>
          <w:szCs w:val="24"/>
        </w:rPr>
        <w:t>of present shareholders and even the new ones would not enjoy the benefits as a result of their shareholding thereof</w:t>
      </w:r>
      <w:r w:rsidR="00810D05" w:rsidRPr="00810D05">
        <w:rPr>
          <w:rFonts w:ascii="Arial" w:hAnsi="Arial" w:cs="Arial"/>
          <w:color w:val="222222"/>
          <w:sz w:val="20"/>
          <w:szCs w:val="20"/>
          <w:shd w:val="clear" w:color="auto" w:fill="FFFFFF"/>
        </w:rPr>
        <w:t xml:space="preserve"> </w:t>
      </w:r>
      <w:r w:rsidR="00810D05">
        <w:rPr>
          <w:rFonts w:ascii="Arial" w:hAnsi="Arial" w:cs="Arial"/>
          <w:color w:val="222222"/>
          <w:sz w:val="20"/>
          <w:szCs w:val="20"/>
          <w:shd w:val="clear" w:color="auto" w:fill="FFFFFF"/>
        </w:rPr>
        <w:t>(</w:t>
      </w:r>
      <w:proofErr w:type="spellStart"/>
      <w:r w:rsidR="00810D05">
        <w:rPr>
          <w:rFonts w:ascii="Arial" w:hAnsi="Arial" w:cs="Arial"/>
          <w:color w:val="222222"/>
          <w:sz w:val="20"/>
          <w:szCs w:val="20"/>
          <w:shd w:val="clear" w:color="auto" w:fill="FFFFFF"/>
        </w:rPr>
        <w:t>Bettis</w:t>
      </w:r>
      <w:proofErr w:type="spellEnd"/>
      <w:r w:rsidR="00810D05">
        <w:rPr>
          <w:rFonts w:ascii="Arial" w:hAnsi="Arial" w:cs="Arial"/>
          <w:color w:val="222222"/>
          <w:sz w:val="20"/>
          <w:szCs w:val="20"/>
          <w:shd w:val="clear" w:color="auto" w:fill="FFFFFF"/>
        </w:rPr>
        <w:t xml:space="preserve">, </w:t>
      </w:r>
      <w:proofErr w:type="spellStart"/>
      <w:r w:rsidR="00810D05">
        <w:rPr>
          <w:rFonts w:ascii="Arial" w:hAnsi="Arial" w:cs="Arial"/>
          <w:color w:val="222222"/>
          <w:sz w:val="20"/>
          <w:szCs w:val="20"/>
          <w:shd w:val="clear" w:color="auto" w:fill="FFFFFF"/>
        </w:rPr>
        <w:t>Mahajan</w:t>
      </w:r>
      <w:proofErr w:type="spellEnd"/>
      <w:r w:rsidR="00810D05">
        <w:rPr>
          <w:rFonts w:ascii="Arial" w:hAnsi="Arial" w:cs="Arial"/>
          <w:color w:val="222222"/>
          <w:sz w:val="20"/>
          <w:szCs w:val="20"/>
          <w:shd w:val="clear" w:color="auto" w:fill="FFFFFF"/>
        </w:rPr>
        <w:t>, 1985)</w:t>
      </w:r>
      <w:r>
        <w:rPr>
          <w:rFonts w:ascii="Times New Roman" w:hAnsi="Times New Roman" w:cs="Times New Roman"/>
          <w:sz w:val="24"/>
          <w:szCs w:val="24"/>
        </w:rPr>
        <w:t>.</w:t>
      </w:r>
    </w:p>
    <w:p w:rsidR="0075257C" w:rsidRDefault="0075257C" w:rsidP="00BA270C">
      <w:pPr>
        <w:spacing w:line="480" w:lineRule="auto"/>
        <w:rPr>
          <w:rFonts w:ascii="Times New Roman" w:hAnsi="Times New Roman" w:cs="Times New Roman"/>
          <w:sz w:val="24"/>
          <w:szCs w:val="24"/>
        </w:rPr>
      </w:pPr>
      <w:r>
        <w:rPr>
          <w:rFonts w:ascii="Times New Roman" w:hAnsi="Times New Roman" w:cs="Times New Roman"/>
          <w:sz w:val="24"/>
          <w:szCs w:val="24"/>
        </w:rPr>
        <w:t>In case the company`</w:t>
      </w:r>
      <w:r w:rsidR="00BF5FE1">
        <w:rPr>
          <w:rFonts w:ascii="Times New Roman" w:hAnsi="Times New Roman" w:cs="Times New Roman"/>
          <w:sz w:val="24"/>
          <w:szCs w:val="24"/>
        </w:rPr>
        <w:t xml:space="preserve">s growth is less </w:t>
      </w:r>
      <w:r>
        <w:rPr>
          <w:rFonts w:ascii="Times New Roman" w:hAnsi="Times New Roman" w:cs="Times New Roman"/>
          <w:sz w:val="24"/>
          <w:szCs w:val="24"/>
        </w:rPr>
        <w:t>than the SGR</w:t>
      </w:r>
      <w:r w:rsidR="001047A8">
        <w:rPr>
          <w:rFonts w:ascii="Times New Roman" w:hAnsi="Times New Roman" w:cs="Times New Roman"/>
          <w:sz w:val="24"/>
          <w:szCs w:val="24"/>
        </w:rPr>
        <w:t xml:space="preserve">, the company will have to pay more dividends. There would be no financing through </w:t>
      </w:r>
      <w:r w:rsidR="00BF5FE1">
        <w:rPr>
          <w:rFonts w:ascii="Times New Roman" w:hAnsi="Times New Roman" w:cs="Times New Roman"/>
          <w:sz w:val="24"/>
          <w:szCs w:val="24"/>
        </w:rPr>
        <w:t>equity or debt and so the ratio would be maintained.</w:t>
      </w:r>
    </w:p>
    <w:p w:rsidR="005E13AE" w:rsidRDefault="005E13AE" w:rsidP="005E13AE">
      <w:pPr>
        <w:spacing w:line="480" w:lineRule="auto"/>
        <w:jc w:val="center"/>
        <w:rPr>
          <w:rFonts w:ascii="Times New Roman" w:hAnsi="Times New Roman" w:cs="Times New Roman"/>
          <w:sz w:val="24"/>
          <w:szCs w:val="24"/>
        </w:rPr>
      </w:pPr>
      <w:r>
        <w:rPr>
          <w:rFonts w:ascii="Times New Roman" w:hAnsi="Times New Roman" w:cs="Times New Roman"/>
          <w:sz w:val="24"/>
          <w:szCs w:val="24"/>
        </w:rPr>
        <w:t>CALCULATING SGR</w:t>
      </w:r>
    </w:p>
    <w:p w:rsidR="00BA270C" w:rsidRDefault="00BA270C" w:rsidP="00BA270C">
      <w:pPr>
        <w:spacing w:line="480" w:lineRule="auto"/>
        <w:rPr>
          <w:rFonts w:ascii="Times New Roman" w:hAnsi="Times New Roman" w:cs="Times New Roman"/>
          <w:sz w:val="24"/>
          <w:szCs w:val="24"/>
        </w:rPr>
      </w:pPr>
      <w:r>
        <w:rPr>
          <w:rFonts w:ascii="Times New Roman" w:hAnsi="Times New Roman" w:cs="Times New Roman"/>
          <w:sz w:val="24"/>
          <w:szCs w:val="24"/>
        </w:rPr>
        <w:t>It is calculated as below</w:t>
      </w:r>
    </w:p>
    <w:p w:rsidR="00BA270C" w:rsidRDefault="00BA270C"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SGR=</w:t>
      </w:r>
      <w:r w:rsidR="005E13AE">
        <w:rPr>
          <w:rFonts w:ascii="Times New Roman" w:hAnsi="Times New Roman" w:cs="Times New Roman"/>
          <w:sz w:val="24"/>
          <w:szCs w:val="24"/>
        </w:rPr>
        <w:t xml:space="preserve"> ROE*(1-DPR</w:t>
      </w:r>
      <w:r>
        <w:rPr>
          <w:rFonts w:ascii="Times New Roman" w:hAnsi="Times New Roman" w:cs="Times New Roman"/>
          <w:sz w:val="24"/>
          <w:szCs w:val="24"/>
        </w:rPr>
        <w:t>)</w:t>
      </w:r>
    </w:p>
    <w:p w:rsidR="00BA270C" w:rsidRDefault="00BA270C"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Where;</w:t>
      </w:r>
    </w:p>
    <w:p w:rsidR="005E13AE" w:rsidRDefault="00BA270C" w:rsidP="005E13AE">
      <w:pPr>
        <w:spacing w:line="480" w:lineRule="auto"/>
        <w:jc w:val="center"/>
        <w:rPr>
          <w:rFonts w:ascii="Times New Roman" w:hAnsi="Times New Roman" w:cs="Times New Roman"/>
          <w:sz w:val="24"/>
          <w:szCs w:val="24"/>
        </w:rPr>
      </w:pPr>
      <w:r>
        <w:rPr>
          <w:rFonts w:ascii="Times New Roman" w:hAnsi="Times New Roman" w:cs="Times New Roman"/>
          <w:sz w:val="24"/>
          <w:szCs w:val="24"/>
        </w:rPr>
        <w:t>SGR= Sustainable growth rate</w:t>
      </w:r>
      <w:r w:rsidR="005E13AE">
        <w:rPr>
          <w:rFonts w:ascii="Times New Roman" w:hAnsi="Times New Roman" w:cs="Times New Roman"/>
          <w:sz w:val="24"/>
          <w:szCs w:val="24"/>
        </w:rPr>
        <w:t>,</w:t>
      </w:r>
    </w:p>
    <w:p w:rsidR="00BA270C" w:rsidRDefault="005E13AE"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ROE= Return on equity,</w:t>
      </w:r>
    </w:p>
    <w:p w:rsidR="005E13AE" w:rsidRDefault="005E13AE"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DPR= Dividend pay-</w:t>
      </w:r>
      <w:r w:rsidR="00810D05">
        <w:rPr>
          <w:rFonts w:ascii="Times New Roman" w:hAnsi="Times New Roman" w:cs="Times New Roman"/>
          <w:sz w:val="24"/>
          <w:szCs w:val="24"/>
        </w:rPr>
        <w:t>out ratio</w:t>
      </w:r>
      <w:r w:rsidR="00810D05" w:rsidRPr="00810D05">
        <w:rPr>
          <w:rFonts w:ascii="Arial" w:hAnsi="Arial" w:cs="Arial"/>
          <w:color w:val="222222"/>
          <w:sz w:val="20"/>
          <w:szCs w:val="20"/>
          <w:shd w:val="clear" w:color="auto" w:fill="FFFFFF"/>
        </w:rPr>
        <w:t xml:space="preserve"> </w:t>
      </w:r>
      <w:r w:rsidR="00810D05">
        <w:rPr>
          <w:rFonts w:ascii="Arial" w:hAnsi="Arial" w:cs="Arial"/>
          <w:color w:val="222222"/>
          <w:sz w:val="20"/>
          <w:szCs w:val="20"/>
          <w:shd w:val="clear" w:color="auto" w:fill="FFFFFF"/>
        </w:rPr>
        <w:t>(</w:t>
      </w:r>
      <w:proofErr w:type="spellStart"/>
      <w:r w:rsidR="00810D05">
        <w:rPr>
          <w:rFonts w:ascii="Arial" w:hAnsi="Arial" w:cs="Arial"/>
          <w:color w:val="222222"/>
          <w:sz w:val="20"/>
          <w:szCs w:val="20"/>
          <w:shd w:val="clear" w:color="auto" w:fill="FFFFFF"/>
        </w:rPr>
        <w:t>Bettis</w:t>
      </w:r>
      <w:proofErr w:type="spellEnd"/>
      <w:r w:rsidR="00810D05">
        <w:rPr>
          <w:rFonts w:ascii="Arial" w:hAnsi="Arial" w:cs="Arial"/>
          <w:color w:val="222222"/>
          <w:sz w:val="20"/>
          <w:szCs w:val="20"/>
          <w:shd w:val="clear" w:color="auto" w:fill="FFFFFF"/>
        </w:rPr>
        <w:t xml:space="preserve">, </w:t>
      </w:r>
      <w:proofErr w:type="spellStart"/>
      <w:r w:rsidR="00810D05">
        <w:rPr>
          <w:rFonts w:ascii="Arial" w:hAnsi="Arial" w:cs="Arial"/>
          <w:color w:val="222222"/>
          <w:sz w:val="20"/>
          <w:szCs w:val="20"/>
          <w:shd w:val="clear" w:color="auto" w:fill="FFFFFF"/>
        </w:rPr>
        <w:t>Mahajan</w:t>
      </w:r>
      <w:proofErr w:type="spellEnd"/>
      <w:r w:rsidR="00810D05">
        <w:rPr>
          <w:rFonts w:ascii="Arial" w:hAnsi="Arial" w:cs="Arial"/>
          <w:color w:val="222222"/>
          <w:sz w:val="20"/>
          <w:szCs w:val="20"/>
          <w:shd w:val="clear" w:color="auto" w:fill="FFFFFF"/>
        </w:rPr>
        <w:t>, 1985)</w:t>
      </w:r>
      <w:r w:rsidR="00810D05">
        <w:rPr>
          <w:rFonts w:ascii="Times New Roman" w:hAnsi="Times New Roman" w:cs="Times New Roman"/>
          <w:sz w:val="24"/>
          <w:szCs w:val="24"/>
        </w:rPr>
        <w:t>.</w:t>
      </w:r>
    </w:p>
    <w:p w:rsidR="00BA270C" w:rsidRDefault="00BA270C" w:rsidP="00BA270C">
      <w:pPr>
        <w:spacing w:line="480" w:lineRule="auto"/>
        <w:rPr>
          <w:rFonts w:ascii="Times New Roman" w:hAnsi="Times New Roman" w:cs="Times New Roman"/>
          <w:sz w:val="24"/>
          <w:szCs w:val="24"/>
        </w:rPr>
      </w:pPr>
      <w:r>
        <w:rPr>
          <w:rFonts w:ascii="Times New Roman" w:hAnsi="Times New Roman" w:cs="Times New Roman"/>
          <w:sz w:val="24"/>
          <w:szCs w:val="24"/>
        </w:rPr>
        <w:t>Return on equity refers to income a company earns in a given financial year as a percentage of shareholder`s equity employed in its operations. It is in other words a measure of profitability</w:t>
      </w:r>
      <w:r w:rsidR="00972B49">
        <w:rPr>
          <w:rFonts w:ascii="Times New Roman" w:hAnsi="Times New Roman" w:cs="Times New Roman"/>
          <w:sz w:val="24"/>
          <w:szCs w:val="24"/>
        </w:rPr>
        <w:t xml:space="preserve"> </w:t>
      </w:r>
      <w:r w:rsidR="00CB3F48">
        <w:rPr>
          <w:rFonts w:ascii="Times New Roman" w:hAnsi="Times New Roman" w:cs="Times New Roman"/>
          <w:sz w:val="24"/>
          <w:szCs w:val="24"/>
        </w:rPr>
        <w:t>a company generates for using finances that are raised from shareholder`s contributions.</w:t>
      </w:r>
    </w:p>
    <w:p w:rsidR="00CB3F48" w:rsidRDefault="00CB3F48"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ROE=Net income/shareholder`s equity</w:t>
      </w:r>
    </w:p>
    <w:p w:rsidR="00CB3F48" w:rsidRDefault="00CB3F48"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Net income is that residual income due to shareholders, that is before dividends to common stockholders are paid, but of course after payments of the same to preferred stockholders.</w:t>
      </w:r>
    </w:p>
    <w:p w:rsidR="00CB3F48" w:rsidRDefault="00CB3F48" w:rsidP="00CB3F48">
      <w:pPr>
        <w:spacing w:line="480" w:lineRule="auto"/>
        <w:rPr>
          <w:rFonts w:ascii="Times New Roman" w:hAnsi="Times New Roman" w:cs="Times New Roman"/>
          <w:sz w:val="24"/>
          <w:szCs w:val="24"/>
        </w:rPr>
      </w:pPr>
      <w:r>
        <w:rPr>
          <w:rFonts w:ascii="Times New Roman" w:hAnsi="Times New Roman" w:cs="Times New Roman"/>
          <w:sz w:val="24"/>
          <w:szCs w:val="24"/>
        </w:rPr>
        <w:t xml:space="preserve">In calculating the SGR of our company, we shall run the three periods as `13/14, `14/15 and then 15/16 financial years to September of each fiscal year. </w:t>
      </w:r>
    </w:p>
    <w:p w:rsidR="00CB3F48" w:rsidRDefault="00CB3F48" w:rsidP="00CB3F48">
      <w:pPr>
        <w:pStyle w:val="ListParagraph"/>
        <w:numPr>
          <w:ilvl w:val="0"/>
          <w:numId w:val="1"/>
        </w:numPr>
        <w:spacing w:line="480" w:lineRule="auto"/>
        <w:jc w:val="center"/>
        <w:rPr>
          <w:rFonts w:ascii="Times New Roman" w:hAnsi="Times New Roman" w:cs="Times New Roman"/>
          <w:sz w:val="24"/>
          <w:szCs w:val="24"/>
        </w:rPr>
      </w:pPr>
      <w:r>
        <w:rPr>
          <w:rFonts w:ascii="Times New Roman" w:hAnsi="Times New Roman" w:cs="Times New Roman"/>
          <w:sz w:val="24"/>
          <w:szCs w:val="24"/>
        </w:rPr>
        <w:t>SGR for the fiscal year 9/28/2013-9/27/2014</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 ROE*(1-DPR)</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ROE=39510/111547</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=0.354</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DPR=11,126/39,510</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=0.282</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 0.354*(1-0.282)</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=25.41%</w:t>
      </w:r>
    </w:p>
    <w:p w:rsidR="001B7EC1" w:rsidRDefault="001B7EC1" w:rsidP="001B7EC1">
      <w:pPr>
        <w:pStyle w:val="ListParagraph"/>
        <w:spacing w:line="480" w:lineRule="auto"/>
        <w:jc w:val="center"/>
        <w:rPr>
          <w:rFonts w:ascii="Times New Roman" w:hAnsi="Times New Roman" w:cs="Times New Roman"/>
          <w:sz w:val="24"/>
          <w:szCs w:val="24"/>
        </w:rPr>
      </w:pPr>
    </w:p>
    <w:p w:rsidR="001B7EC1" w:rsidRDefault="001B7EC1" w:rsidP="001B7EC1">
      <w:pPr>
        <w:pStyle w:val="ListParagraph"/>
        <w:numPr>
          <w:ilvl w:val="0"/>
          <w:numId w:val="1"/>
        </w:numPr>
        <w:spacing w:line="480" w:lineRule="auto"/>
        <w:jc w:val="center"/>
        <w:rPr>
          <w:rFonts w:ascii="Times New Roman" w:hAnsi="Times New Roman" w:cs="Times New Roman"/>
          <w:sz w:val="24"/>
          <w:szCs w:val="24"/>
        </w:rPr>
      </w:pPr>
      <w:r>
        <w:rPr>
          <w:rFonts w:ascii="Times New Roman" w:hAnsi="Times New Roman" w:cs="Times New Roman"/>
          <w:sz w:val="24"/>
          <w:szCs w:val="24"/>
        </w:rPr>
        <w:t>SGR for the year 9/27/2014-9/26/2015</w:t>
      </w:r>
    </w:p>
    <w:p w:rsidR="001B7EC1"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SGR=ROE*(1-DPR)</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ROE=53,394/119,355</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0.447</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DPR= 11,561/53,394</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=0.217</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SGR=0.447*(1-0.217)</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p w:rsidR="001B7EC1" w:rsidRDefault="001B7EC1" w:rsidP="001B7EC1">
      <w:pPr>
        <w:pStyle w:val="ListParagraph"/>
        <w:spacing w:line="480" w:lineRule="auto"/>
        <w:jc w:val="center"/>
        <w:rPr>
          <w:rFonts w:ascii="Times New Roman" w:hAnsi="Times New Roman" w:cs="Times New Roman"/>
          <w:sz w:val="24"/>
          <w:szCs w:val="24"/>
        </w:rPr>
      </w:pPr>
    </w:p>
    <w:p w:rsidR="00CB3F48" w:rsidRDefault="00EF3629" w:rsidP="00EF3629">
      <w:pPr>
        <w:pStyle w:val="ListParagraph"/>
        <w:numPr>
          <w:ilvl w:val="0"/>
          <w:numId w:val="1"/>
        </w:numPr>
        <w:spacing w:line="480" w:lineRule="auto"/>
        <w:jc w:val="center"/>
        <w:rPr>
          <w:rFonts w:ascii="Times New Roman" w:hAnsi="Times New Roman" w:cs="Times New Roman"/>
          <w:sz w:val="24"/>
          <w:szCs w:val="24"/>
        </w:rPr>
      </w:pPr>
      <w:r>
        <w:rPr>
          <w:rFonts w:ascii="Times New Roman" w:hAnsi="Times New Roman" w:cs="Times New Roman"/>
          <w:sz w:val="24"/>
          <w:szCs w:val="24"/>
        </w:rPr>
        <w:t>SGR for the year9/26/2015-9/24/2016</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ROE=45,687/128,249</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=0.356</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DPR=12,150/45,687</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=0.266</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SGR=0.356*(1-0.266)</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26.13%</w:t>
      </w:r>
    </w:p>
    <w:p w:rsidR="0075257C" w:rsidRPr="00CB3F48" w:rsidRDefault="00287833" w:rsidP="00E1014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Since we are measuring the company`s SGR in relation to its growth, there is need to calculate this growth therefore. Growth can be calculated using various parameters in each financial year. This includes, but not limited to, assets, revenue and dividend. Whatever the measure, the trend is the same and its comparison to </w:t>
      </w:r>
      <w:r w:rsidR="0029023F">
        <w:rPr>
          <w:rFonts w:ascii="Times New Roman" w:hAnsi="Times New Roman" w:cs="Times New Roman"/>
          <w:sz w:val="24"/>
          <w:szCs w:val="24"/>
        </w:rPr>
        <w:t>the SGR in each year is common</w:t>
      </w:r>
      <w:r>
        <w:rPr>
          <w:rFonts w:ascii="Times New Roman" w:hAnsi="Times New Roman" w:cs="Times New Roman"/>
          <w:sz w:val="24"/>
          <w:szCs w:val="24"/>
        </w:rPr>
        <w:t>. Growth in this case was calculated using the Net income parameter. But since</w:t>
      </w:r>
      <w:r w:rsidR="0029023F">
        <w:rPr>
          <w:rFonts w:ascii="Times New Roman" w:hAnsi="Times New Roman" w:cs="Times New Roman"/>
          <w:sz w:val="24"/>
          <w:szCs w:val="24"/>
        </w:rPr>
        <w:t xml:space="preserve"> the</w:t>
      </w:r>
      <w:r>
        <w:rPr>
          <w:rFonts w:ascii="Times New Roman" w:hAnsi="Times New Roman" w:cs="Times New Roman"/>
          <w:sz w:val="24"/>
          <w:szCs w:val="24"/>
        </w:rPr>
        <w:t xml:space="preserve"> growth in the second year equals the SGR in this respect, we shall use the </w:t>
      </w:r>
      <w:r w:rsidR="00F77685">
        <w:rPr>
          <w:rFonts w:ascii="Times New Roman" w:hAnsi="Times New Roman" w:cs="Times New Roman"/>
          <w:sz w:val="24"/>
          <w:szCs w:val="24"/>
        </w:rPr>
        <w:t xml:space="preserve">assets metric </w:t>
      </w:r>
      <w:r w:rsidR="0029023F">
        <w:rPr>
          <w:rFonts w:ascii="Times New Roman" w:hAnsi="Times New Roman" w:cs="Times New Roman"/>
          <w:sz w:val="24"/>
          <w:szCs w:val="24"/>
        </w:rPr>
        <w:t xml:space="preserve">in our analysis </w:t>
      </w:r>
      <w:r w:rsidR="00F77685">
        <w:rPr>
          <w:rFonts w:ascii="Times New Roman" w:hAnsi="Times New Roman" w:cs="Times New Roman"/>
          <w:sz w:val="24"/>
          <w:szCs w:val="24"/>
        </w:rPr>
        <w:t>which gives us a growth of 19.57%.</w:t>
      </w:r>
    </w:p>
    <w:tbl>
      <w:tblPr>
        <w:tblStyle w:val="TableGrid"/>
        <w:tblW w:w="0" w:type="auto"/>
        <w:tblLook w:val="04A0"/>
      </w:tblPr>
      <w:tblGrid>
        <w:gridCol w:w="1448"/>
        <w:gridCol w:w="1749"/>
        <w:gridCol w:w="1708"/>
        <w:gridCol w:w="1771"/>
        <w:gridCol w:w="1450"/>
        <w:gridCol w:w="1450"/>
      </w:tblGrid>
      <w:tr w:rsidR="00C63AD9" w:rsidTr="00C63AD9">
        <w:tc>
          <w:tcPr>
            <w:tcW w:w="144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PERIOD</w:t>
            </w:r>
          </w:p>
        </w:tc>
        <w:tc>
          <w:tcPr>
            <w:tcW w:w="1749"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S/EQUITY</w:t>
            </w:r>
          </w:p>
        </w:tc>
        <w:tc>
          <w:tcPr>
            <w:tcW w:w="1708" w:type="dxa"/>
          </w:tcPr>
          <w:p w:rsidR="00C63AD9" w:rsidRDefault="00071C5B"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NET INCOME</w:t>
            </w:r>
          </w:p>
        </w:tc>
        <w:tc>
          <w:tcPr>
            <w:tcW w:w="1771"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DIVIDEND</w:t>
            </w:r>
          </w:p>
        </w:tc>
        <w:tc>
          <w:tcPr>
            <w:tcW w:w="1450"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SGR (%)</w:t>
            </w:r>
          </w:p>
        </w:tc>
        <w:tc>
          <w:tcPr>
            <w:tcW w:w="1450" w:type="dxa"/>
          </w:tcPr>
          <w:p w:rsidR="00C63AD9" w:rsidRDefault="00287833"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GROWTH</w:t>
            </w:r>
          </w:p>
        </w:tc>
      </w:tr>
      <w:tr w:rsidR="00C63AD9" w:rsidTr="00C63AD9">
        <w:tc>
          <w:tcPr>
            <w:tcW w:w="144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13/14</w:t>
            </w:r>
          </w:p>
        </w:tc>
        <w:tc>
          <w:tcPr>
            <w:tcW w:w="1749"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11,547</w:t>
            </w:r>
          </w:p>
        </w:tc>
        <w:tc>
          <w:tcPr>
            <w:tcW w:w="170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39,510</w:t>
            </w:r>
          </w:p>
        </w:tc>
        <w:tc>
          <w:tcPr>
            <w:tcW w:w="1771"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11,126</w:t>
            </w:r>
          </w:p>
        </w:tc>
        <w:tc>
          <w:tcPr>
            <w:tcW w:w="1450"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25.41</w:t>
            </w:r>
          </w:p>
        </w:tc>
        <w:tc>
          <w:tcPr>
            <w:tcW w:w="1450" w:type="dxa"/>
          </w:tcPr>
          <w:p w:rsidR="00C63AD9" w:rsidRDefault="00287833"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C63AD9" w:rsidTr="00C63AD9">
        <w:tc>
          <w:tcPr>
            <w:tcW w:w="144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14/15</w:t>
            </w:r>
          </w:p>
        </w:tc>
        <w:tc>
          <w:tcPr>
            <w:tcW w:w="1749"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119,355</w:t>
            </w:r>
          </w:p>
        </w:tc>
        <w:tc>
          <w:tcPr>
            <w:tcW w:w="170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53,394</w:t>
            </w:r>
          </w:p>
        </w:tc>
        <w:tc>
          <w:tcPr>
            <w:tcW w:w="1771"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11,561</w:t>
            </w:r>
          </w:p>
        </w:tc>
        <w:tc>
          <w:tcPr>
            <w:tcW w:w="1450"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450" w:type="dxa"/>
          </w:tcPr>
          <w:p w:rsidR="00C63AD9" w:rsidRDefault="00287833"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tc>
      </w:tr>
      <w:tr w:rsidR="00C63AD9" w:rsidTr="00C63AD9">
        <w:tc>
          <w:tcPr>
            <w:tcW w:w="144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15/16</w:t>
            </w:r>
          </w:p>
        </w:tc>
        <w:tc>
          <w:tcPr>
            <w:tcW w:w="1749"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128,249</w:t>
            </w:r>
          </w:p>
        </w:tc>
        <w:tc>
          <w:tcPr>
            <w:tcW w:w="170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45,687</w:t>
            </w:r>
          </w:p>
        </w:tc>
        <w:tc>
          <w:tcPr>
            <w:tcW w:w="1771"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12,150</w:t>
            </w:r>
          </w:p>
        </w:tc>
        <w:tc>
          <w:tcPr>
            <w:tcW w:w="1450"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26.13</w:t>
            </w:r>
          </w:p>
        </w:tc>
        <w:tc>
          <w:tcPr>
            <w:tcW w:w="1450" w:type="dxa"/>
          </w:tcPr>
          <w:p w:rsidR="00C63AD9" w:rsidRDefault="00287833"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16</w:t>
            </w:r>
          </w:p>
        </w:tc>
      </w:tr>
    </w:tbl>
    <w:p w:rsidR="00CB3F48" w:rsidRDefault="00CB3F48" w:rsidP="00C63AD9">
      <w:pPr>
        <w:spacing w:line="480" w:lineRule="auto"/>
        <w:rPr>
          <w:rFonts w:ascii="Times New Roman" w:hAnsi="Times New Roman" w:cs="Times New Roman"/>
          <w:sz w:val="24"/>
          <w:szCs w:val="24"/>
        </w:rPr>
      </w:pPr>
    </w:p>
    <w:p w:rsidR="00BA270C" w:rsidRDefault="00BF5FE1" w:rsidP="00BF5FE1">
      <w:pPr>
        <w:spacing w:line="480" w:lineRule="auto"/>
        <w:rPr>
          <w:rFonts w:ascii="Times New Roman" w:hAnsi="Times New Roman" w:cs="Times New Roman"/>
          <w:sz w:val="24"/>
          <w:szCs w:val="24"/>
        </w:rPr>
      </w:pPr>
      <w:r>
        <w:rPr>
          <w:rFonts w:ascii="Times New Roman" w:hAnsi="Times New Roman" w:cs="Times New Roman"/>
          <w:sz w:val="24"/>
          <w:szCs w:val="24"/>
        </w:rPr>
        <w:t xml:space="preserve">Apple Inc. had its actual growth at percentages less than the SGR for two years except for the period of 14/15. This means the company is not utilizing its full potential. This is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n un</w:t>
      </w:r>
      <w:r w:rsidR="00F62DB8">
        <w:rPr>
          <w:rFonts w:ascii="Times New Roman" w:hAnsi="Times New Roman" w:cs="Times New Roman"/>
          <w:sz w:val="24"/>
          <w:szCs w:val="24"/>
        </w:rPr>
        <w:t>d</w:t>
      </w:r>
      <w:r>
        <w:rPr>
          <w:rFonts w:ascii="Times New Roman" w:hAnsi="Times New Roman" w:cs="Times New Roman"/>
          <w:sz w:val="24"/>
          <w:szCs w:val="24"/>
        </w:rPr>
        <w:t xml:space="preserve">erperformance. </w:t>
      </w:r>
      <w:r w:rsidR="00F62DB8">
        <w:rPr>
          <w:rFonts w:ascii="Times New Roman" w:hAnsi="Times New Roman" w:cs="Times New Roman"/>
          <w:sz w:val="24"/>
          <w:szCs w:val="24"/>
        </w:rPr>
        <w:t xml:space="preserve">Like explained, when this is the case, shareholders would have to be compensated more through increased pay as dividends. This is analyzed as what happened in comparing the dividends for the three fiscal years. Dividends are seen to be growing through the </w:t>
      </w:r>
      <w:r w:rsidR="00F62DB8">
        <w:rPr>
          <w:rFonts w:ascii="Times New Roman" w:hAnsi="Times New Roman" w:cs="Times New Roman"/>
          <w:sz w:val="24"/>
          <w:szCs w:val="24"/>
        </w:rPr>
        <w:lastRenderedPageBreak/>
        <w:t>years, although the growth is marginal. This may be due to company policy in so far as dividends pay out are concerned. This may as well due to the retention policy. Whichever the reason, shareholders are not getting what they deserve. There is no need</w:t>
      </w:r>
      <w:r w:rsidR="005D3D9C">
        <w:rPr>
          <w:rFonts w:ascii="Times New Roman" w:hAnsi="Times New Roman" w:cs="Times New Roman"/>
          <w:sz w:val="24"/>
          <w:szCs w:val="24"/>
        </w:rPr>
        <w:t xml:space="preserve"> for</w:t>
      </w:r>
      <w:r w:rsidR="00F62DB8">
        <w:rPr>
          <w:rFonts w:ascii="Times New Roman" w:hAnsi="Times New Roman" w:cs="Times New Roman"/>
          <w:sz w:val="24"/>
          <w:szCs w:val="24"/>
        </w:rPr>
        <w:t xml:space="preserve"> retaining much when </w:t>
      </w:r>
      <w:r w:rsidR="005D3D9C">
        <w:rPr>
          <w:rFonts w:ascii="Times New Roman" w:hAnsi="Times New Roman" w:cs="Times New Roman"/>
          <w:sz w:val="24"/>
          <w:szCs w:val="24"/>
        </w:rPr>
        <w:t>there is no expansion or growth that can absorb this retention.</w:t>
      </w:r>
    </w:p>
    <w:p w:rsidR="005D3D9C" w:rsidRDefault="005D3D9C" w:rsidP="00BF5FE1">
      <w:pPr>
        <w:spacing w:line="480" w:lineRule="auto"/>
        <w:rPr>
          <w:rFonts w:ascii="Times New Roman" w:hAnsi="Times New Roman" w:cs="Times New Roman"/>
          <w:sz w:val="24"/>
          <w:szCs w:val="24"/>
        </w:rPr>
      </w:pPr>
      <w:r>
        <w:rPr>
          <w:rFonts w:ascii="Times New Roman" w:hAnsi="Times New Roman" w:cs="Times New Roman"/>
          <w:sz w:val="24"/>
          <w:szCs w:val="24"/>
        </w:rPr>
        <w:t>The period of 13/14 saw the SGR equal the actual growth. This is break-even point and so the company can exercise the discretion of financial outsourcing or not. Apple`s strategy in this respect was to source for external funds. This can be seen with the increase in common stock from $23,133 in 2013 to $31,251 in 2016 with the increase being steady throughout the period. Since debt-equity ratio is something that should be checked in additional funding, it is inevitable to increase equity without debt as w</w:t>
      </w:r>
      <w:r w:rsidR="00E0778D">
        <w:rPr>
          <w:rFonts w:ascii="Times New Roman" w:hAnsi="Times New Roman" w:cs="Times New Roman"/>
          <w:sz w:val="24"/>
          <w:szCs w:val="24"/>
        </w:rPr>
        <w:t>ell. Apple`s debt almost doubled from</w:t>
      </w:r>
      <w:r>
        <w:rPr>
          <w:rFonts w:ascii="Times New Roman" w:hAnsi="Times New Roman" w:cs="Times New Roman"/>
          <w:sz w:val="24"/>
          <w:szCs w:val="24"/>
        </w:rPr>
        <w:t xml:space="preserve"> </w:t>
      </w:r>
      <w:r w:rsidR="00E0778D">
        <w:rPr>
          <w:rFonts w:ascii="Times New Roman" w:hAnsi="Times New Roman" w:cs="Times New Roman"/>
          <w:sz w:val="24"/>
          <w:szCs w:val="24"/>
        </w:rPr>
        <w:t>$28,987 in the `13/14 financial year to$ 53,463,to meet the growth leap it experienced from 6% that increased almost six fold to 35% to the period under review.</w:t>
      </w:r>
    </w:p>
    <w:p w:rsidR="00F62DB8" w:rsidRDefault="00F62DB8" w:rsidP="00BF5FE1">
      <w:pPr>
        <w:spacing w:line="480" w:lineRule="auto"/>
        <w:rPr>
          <w:rFonts w:ascii="Times New Roman" w:hAnsi="Times New Roman" w:cs="Times New Roman"/>
          <w:sz w:val="24"/>
          <w:szCs w:val="24"/>
        </w:rPr>
      </w:pPr>
      <w:bookmarkStart w:id="0" w:name="_GoBack"/>
      <w:bookmarkEnd w:id="0"/>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Default="00E0778D" w:rsidP="007328B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328BB" w:rsidRDefault="007328BB" w:rsidP="007328BB">
      <w:pPr>
        <w:spacing w:line="24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Bettis</w:t>
      </w:r>
      <w:proofErr w:type="spellEnd"/>
      <w:r>
        <w:rPr>
          <w:rFonts w:ascii="Arial" w:hAnsi="Arial" w:cs="Arial"/>
          <w:color w:val="222222"/>
          <w:sz w:val="20"/>
          <w:szCs w:val="20"/>
          <w:shd w:val="clear" w:color="auto" w:fill="FFFFFF"/>
        </w:rPr>
        <w:t xml:space="preserve">, R. A., &amp; </w:t>
      </w:r>
      <w:proofErr w:type="spellStart"/>
      <w:r>
        <w:rPr>
          <w:rFonts w:ascii="Arial" w:hAnsi="Arial" w:cs="Arial"/>
          <w:color w:val="222222"/>
          <w:sz w:val="20"/>
          <w:szCs w:val="20"/>
          <w:shd w:val="clear" w:color="auto" w:fill="FFFFFF"/>
        </w:rPr>
        <w:t>Mahajan</w:t>
      </w:r>
      <w:proofErr w:type="spellEnd"/>
      <w:r>
        <w:rPr>
          <w:rFonts w:ascii="Arial" w:hAnsi="Arial" w:cs="Arial"/>
          <w:color w:val="222222"/>
          <w:sz w:val="20"/>
          <w:szCs w:val="20"/>
          <w:shd w:val="clear" w:color="auto" w:fill="FFFFFF"/>
        </w:rPr>
        <w:t>, V. (1985). Risk/return performance of diversified firms. </w:t>
      </w:r>
      <w:r>
        <w:rPr>
          <w:rFonts w:ascii="Arial" w:hAnsi="Arial" w:cs="Arial"/>
          <w:i/>
          <w:iCs/>
          <w:color w:val="222222"/>
          <w:sz w:val="20"/>
          <w:szCs w:val="20"/>
          <w:shd w:val="clear" w:color="auto" w:fill="FFFFFF"/>
        </w:rPr>
        <w:t>Management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w:t>
      </w:r>
      <w:r>
        <w:rPr>
          <w:rFonts w:ascii="Arial" w:hAnsi="Arial" w:cs="Arial"/>
          <w:color w:val="222222"/>
          <w:sz w:val="20"/>
          <w:szCs w:val="20"/>
          <w:shd w:val="clear" w:color="auto" w:fill="FFFFFF"/>
        </w:rPr>
        <w:t>(7), 785-799.</w:t>
      </w:r>
    </w:p>
    <w:p w:rsidR="007328BB" w:rsidRDefault="007328BB" w:rsidP="007328BB">
      <w:pPr>
        <w:spacing w:line="24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Hirsch, J. A., &amp; Manchikanti, L. (2014).</w:t>
      </w:r>
      <w:proofErr w:type="gramEnd"/>
      <w:r>
        <w:rPr>
          <w:rFonts w:ascii="Arial" w:hAnsi="Arial" w:cs="Arial"/>
          <w:color w:val="222222"/>
          <w:sz w:val="20"/>
          <w:szCs w:val="20"/>
          <w:shd w:val="clear" w:color="auto" w:fill="FFFFFF"/>
        </w:rPr>
        <w:t xml:space="preserve"> The sustainable growth rate: a 2014 update. </w:t>
      </w:r>
      <w:r>
        <w:rPr>
          <w:rFonts w:ascii="Arial" w:hAnsi="Arial" w:cs="Arial"/>
          <w:i/>
          <w:iCs/>
          <w:color w:val="222222"/>
          <w:sz w:val="20"/>
          <w:szCs w:val="20"/>
          <w:shd w:val="clear" w:color="auto" w:fill="FFFFFF"/>
        </w:rPr>
        <w:t xml:space="preserve">Journal of </w:t>
      </w:r>
      <w:proofErr w:type="spellStart"/>
      <w:r>
        <w:rPr>
          <w:rFonts w:ascii="Arial" w:hAnsi="Arial" w:cs="Arial"/>
          <w:i/>
          <w:iCs/>
          <w:color w:val="222222"/>
          <w:sz w:val="20"/>
          <w:szCs w:val="20"/>
          <w:shd w:val="clear" w:color="auto" w:fill="FFFFFF"/>
        </w:rPr>
        <w:t>neurointerventional</w:t>
      </w:r>
      <w:proofErr w:type="spellEnd"/>
      <w:r>
        <w:rPr>
          <w:rFonts w:ascii="Arial" w:hAnsi="Arial" w:cs="Arial"/>
          <w:i/>
          <w:iCs/>
          <w:color w:val="222222"/>
          <w:sz w:val="20"/>
          <w:szCs w:val="20"/>
          <w:shd w:val="clear" w:color="auto" w:fill="FFFFFF"/>
        </w:rPr>
        <w:t xml:space="preserve"> surgery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(6), 411-412.</w:t>
      </w:r>
    </w:p>
    <w:p w:rsidR="00230CCE" w:rsidRDefault="00230CCE" w:rsidP="00230CCE">
      <w:pPr>
        <w:spacing w:line="480" w:lineRule="auto"/>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Pr="00BA270C" w:rsidRDefault="00BF5FE1" w:rsidP="00BA270C">
      <w:pPr>
        <w:spacing w:line="480" w:lineRule="auto"/>
        <w:jc w:val="center"/>
        <w:rPr>
          <w:rFonts w:ascii="Times New Roman" w:hAnsi="Times New Roman" w:cs="Times New Roman"/>
          <w:sz w:val="24"/>
          <w:szCs w:val="24"/>
        </w:rPr>
      </w:pPr>
    </w:p>
    <w:sectPr w:rsidR="00BF5FE1" w:rsidRPr="00BA270C" w:rsidSect="00BA27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7D9" w:rsidRDefault="005837D9" w:rsidP="00BA270C">
      <w:pPr>
        <w:spacing w:after="0" w:line="240" w:lineRule="auto"/>
      </w:pPr>
      <w:r>
        <w:separator/>
      </w:r>
    </w:p>
  </w:endnote>
  <w:endnote w:type="continuationSeparator" w:id="0">
    <w:p w:rsidR="005837D9" w:rsidRDefault="005837D9" w:rsidP="00BA27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7D9" w:rsidRDefault="005837D9" w:rsidP="00BA270C">
      <w:pPr>
        <w:spacing w:after="0" w:line="240" w:lineRule="auto"/>
      </w:pPr>
      <w:r>
        <w:separator/>
      </w:r>
    </w:p>
  </w:footnote>
  <w:footnote w:type="continuationSeparator" w:id="0">
    <w:p w:rsidR="005837D9" w:rsidRDefault="005837D9" w:rsidP="00BA27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90201902"/>
      <w:docPartObj>
        <w:docPartGallery w:val="Page Numbers (Top of Page)"/>
        <w:docPartUnique/>
      </w:docPartObj>
    </w:sdtPr>
    <w:sdtEndPr>
      <w:rPr>
        <w:noProof/>
      </w:rPr>
    </w:sdtEndPr>
    <w:sdtContent>
      <w:p w:rsidR="00BA270C" w:rsidRPr="00BA270C" w:rsidRDefault="00BA270C">
        <w:pPr>
          <w:pStyle w:val="Header"/>
          <w:jc w:val="right"/>
          <w:rPr>
            <w:rFonts w:ascii="Times New Roman" w:hAnsi="Times New Roman" w:cs="Times New Roman"/>
            <w:sz w:val="24"/>
            <w:szCs w:val="24"/>
          </w:rPr>
        </w:pPr>
        <w:r w:rsidRPr="00BA270C">
          <w:rPr>
            <w:rFonts w:ascii="Times New Roman" w:hAnsi="Times New Roman" w:cs="Times New Roman"/>
            <w:sz w:val="24"/>
            <w:szCs w:val="24"/>
          </w:rPr>
          <w:t>MEASURING SUSTAINABILITY GROWTH</w:t>
        </w:r>
        <w:r>
          <w:rPr>
            <w:rFonts w:ascii="Times New Roman" w:hAnsi="Times New Roman" w:cs="Times New Roman"/>
            <w:sz w:val="24"/>
            <w:szCs w:val="24"/>
          </w:rPr>
          <w:t xml:space="preserve">                                                                            </w:t>
        </w:r>
        <w:r w:rsidRPr="00BA270C">
          <w:rPr>
            <w:rFonts w:ascii="Times New Roman" w:hAnsi="Times New Roman" w:cs="Times New Roman"/>
            <w:sz w:val="24"/>
            <w:szCs w:val="24"/>
          </w:rPr>
          <w:t xml:space="preserve"> </w:t>
        </w:r>
        <w:r w:rsidR="00663342" w:rsidRPr="00BA270C">
          <w:rPr>
            <w:rFonts w:ascii="Times New Roman" w:hAnsi="Times New Roman" w:cs="Times New Roman"/>
            <w:sz w:val="24"/>
            <w:szCs w:val="24"/>
          </w:rPr>
          <w:fldChar w:fldCharType="begin"/>
        </w:r>
        <w:r w:rsidRPr="00BA270C">
          <w:rPr>
            <w:rFonts w:ascii="Times New Roman" w:hAnsi="Times New Roman" w:cs="Times New Roman"/>
            <w:sz w:val="24"/>
            <w:szCs w:val="24"/>
          </w:rPr>
          <w:instrText xml:space="preserve"> PAGE   \* MERGEFORMAT </w:instrText>
        </w:r>
        <w:r w:rsidR="00663342" w:rsidRPr="00BA270C">
          <w:rPr>
            <w:rFonts w:ascii="Times New Roman" w:hAnsi="Times New Roman" w:cs="Times New Roman"/>
            <w:sz w:val="24"/>
            <w:szCs w:val="24"/>
          </w:rPr>
          <w:fldChar w:fldCharType="separate"/>
        </w:r>
        <w:r w:rsidR="00387AC9">
          <w:rPr>
            <w:rFonts w:ascii="Times New Roman" w:hAnsi="Times New Roman" w:cs="Times New Roman"/>
            <w:noProof/>
            <w:sz w:val="24"/>
            <w:szCs w:val="24"/>
          </w:rPr>
          <w:t>7</w:t>
        </w:r>
        <w:r w:rsidR="00663342" w:rsidRPr="00BA270C">
          <w:rPr>
            <w:rFonts w:ascii="Times New Roman" w:hAnsi="Times New Roman" w:cs="Times New Roman"/>
            <w:noProof/>
            <w:sz w:val="24"/>
            <w:szCs w:val="24"/>
          </w:rPr>
          <w:fldChar w:fldCharType="end"/>
        </w:r>
      </w:p>
    </w:sdtContent>
  </w:sdt>
  <w:p w:rsidR="00BA270C" w:rsidRPr="00BA270C" w:rsidRDefault="00BA270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0C" w:rsidRDefault="00BA270C">
    <w:pPr>
      <w:pStyle w:val="Header"/>
    </w:pPr>
    <w:r>
      <w:t xml:space="preserve">Running head: </w:t>
    </w:r>
    <w:r w:rsidRPr="00BA270C">
      <w:rPr>
        <w:rFonts w:ascii="Times New Roman" w:hAnsi="Times New Roman" w:cs="Times New Roman"/>
        <w:sz w:val="24"/>
        <w:szCs w:val="24"/>
      </w:rPr>
      <w:t>MEASURING SUSTAINABILITY GROWTH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AA7C32"/>
    <w:multiLevelType w:val="hybridMultilevel"/>
    <w:tmpl w:val="05CA5A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A270C"/>
    <w:rsid w:val="00071C5B"/>
    <w:rsid w:val="001047A8"/>
    <w:rsid w:val="001B7EC1"/>
    <w:rsid w:val="00230CCE"/>
    <w:rsid w:val="00287833"/>
    <w:rsid w:val="0029023F"/>
    <w:rsid w:val="00387AC9"/>
    <w:rsid w:val="005806D6"/>
    <w:rsid w:val="005837D9"/>
    <w:rsid w:val="005D3D9C"/>
    <w:rsid w:val="005E13AE"/>
    <w:rsid w:val="00663342"/>
    <w:rsid w:val="006A56C8"/>
    <w:rsid w:val="007328BB"/>
    <w:rsid w:val="0075257C"/>
    <w:rsid w:val="007735D0"/>
    <w:rsid w:val="00810D05"/>
    <w:rsid w:val="00873F32"/>
    <w:rsid w:val="00972B49"/>
    <w:rsid w:val="00A11112"/>
    <w:rsid w:val="00B82195"/>
    <w:rsid w:val="00BA270C"/>
    <w:rsid w:val="00BF5FE1"/>
    <w:rsid w:val="00C63AD9"/>
    <w:rsid w:val="00CB3E6F"/>
    <w:rsid w:val="00CB3F48"/>
    <w:rsid w:val="00E0778D"/>
    <w:rsid w:val="00E10146"/>
    <w:rsid w:val="00EF3629"/>
    <w:rsid w:val="00F62DB8"/>
    <w:rsid w:val="00F776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3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70C"/>
  </w:style>
  <w:style w:type="paragraph" w:styleId="Footer">
    <w:name w:val="footer"/>
    <w:basedOn w:val="Normal"/>
    <w:link w:val="FooterChar"/>
    <w:uiPriority w:val="99"/>
    <w:unhideWhenUsed/>
    <w:rsid w:val="00BA2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70C"/>
  </w:style>
  <w:style w:type="paragraph" w:styleId="ListParagraph">
    <w:name w:val="List Paragraph"/>
    <w:basedOn w:val="Normal"/>
    <w:uiPriority w:val="34"/>
    <w:qFormat/>
    <w:rsid w:val="00CB3F48"/>
    <w:pPr>
      <w:ind w:left="720"/>
      <w:contextualSpacing/>
    </w:pPr>
  </w:style>
  <w:style w:type="table" w:styleId="TableGrid">
    <w:name w:val="Table Grid"/>
    <w:basedOn w:val="TableNormal"/>
    <w:uiPriority w:val="59"/>
    <w:rsid w:val="00C63A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70C"/>
  </w:style>
  <w:style w:type="paragraph" w:styleId="Footer">
    <w:name w:val="footer"/>
    <w:basedOn w:val="Normal"/>
    <w:link w:val="FooterChar"/>
    <w:uiPriority w:val="99"/>
    <w:unhideWhenUsed/>
    <w:rsid w:val="00BA2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70C"/>
  </w:style>
  <w:style w:type="paragraph" w:styleId="ListParagraph">
    <w:name w:val="List Paragraph"/>
    <w:basedOn w:val="Normal"/>
    <w:uiPriority w:val="34"/>
    <w:qFormat/>
    <w:rsid w:val="00CB3F48"/>
    <w:pPr>
      <w:ind w:left="720"/>
      <w:contextualSpacing/>
    </w:pPr>
  </w:style>
  <w:style w:type="table" w:styleId="TableGrid">
    <w:name w:val="Table Grid"/>
    <w:basedOn w:val="TableNormal"/>
    <w:uiPriority w:val="59"/>
    <w:rsid w:val="00C63A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2017-11-04T20:13:00Z</dcterms:created>
  <dcterms:modified xsi:type="dcterms:W3CDTF">2017-11-04T20:13:00Z</dcterms:modified>
</cp:coreProperties>
</file>